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CBAM Readiness Pack – Steel &amp; Metals</w:t>
      </w:r>
    </w:p>
    <w:p>
      <w:r>
        <w:t>Checklist to prepare for EU Carbon Border Adjustment Mechanism (CBAM) reporting from 2026 onwards.</w:t>
      </w:r>
    </w:p>
    <w:p>
      <w:pPr>
        <w:pStyle w:val="Heading1"/>
      </w:pPr>
      <w:r>
        <w:t>Section 1 – Data Capture</w:t>
      </w:r>
    </w:p>
    <w:p>
      <w:r>
        <w:t>- Site-level GHG inventory (Scope 1 + Scope 2) for each mill</w:t>
        <w:br/>
        <w:t>- Route-specific emission intensity (tCO₂e/t crude steel)</w:t>
        <w:br/>
        <w:t>- Grid emission factors (location- and market-based)</w:t>
        <w:br/>
        <w:t>- Scrap usage and allocation methodology</w:t>
      </w:r>
    </w:p>
    <w:p>
      <w:pPr>
        <w:pStyle w:val="Heading1"/>
      </w:pPr>
      <w:r>
        <w:t>Section 2 – Verification</w:t>
      </w:r>
    </w:p>
    <w:p>
      <w:r>
        <w:t>- Third-party verification plan (ISO 14064-3)</w:t>
        <w:br/>
        <w:t>- Evidence repository for input data and factors</w:t>
        <w:br/>
        <w:t>- Version control of methodologies</w:t>
      </w:r>
    </w:p>
    <w:p>
      <w:pPr>
        <w:pStyle w:val="Heading1"/>
      </w:pPr>
      <w:r>
        <w:t>Section 3 – Reporting</w:t>
      </w:r>
    </w:p>
    <w:p>
      <w:r>
        <w:t>- Quarterly CBAM data file preparation</w:t>
        <w:br/>
        <w:t>- Alignment with EU template (per CN code)</w:t>
        <w:br/>
        <w:t>- Internal review and sign-off workflow</w:t>
      </w:r>
    </w:p>
    <w:p>
      <w:pPr>
        <w:pStyle w:val="Heading1"/>
      </w:pPr>
      <w:r>
        <w:t>Section 4 – Risk &amp; Mitigation</w:t>
      </w:r>
    </w:p>
    <w:p>
      <w:r>
        <w:t>- Pricing impact analysis per export route</w:t>
        <w:br/>
        <w:t>- Strategy for low-carbon procurement (DRI/H₂)</w:t>
        <w:br/>
        <w:t>- Engagement with buyers on allocation of CBAM cost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